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16644" w14:textId="77777777" w:rsidR="00315C14" w:rsidRDefault="00315C14" w:rsidP="00C24791">
      <w:pPr>
        <w:spacing w:line="240" w:lineRule="auto"/>
        <w:jc w:val="center"/>
        <w:rPr>
          <w:b/>
          <w:bCs/>
          <w:color w:val="215E99" w:themeColor="text2" w:themeTint="BF"/>
          <w:sz w:val="28"/>
          <w:szCs w:val="28"/>
        </w:rPr>
      </w:pPr>
    </w:p>
    <w:p w14:paraId="3D839F24" w14:textId="77777777" w:rsidR="00AF53BC" w:rsidRPr="007B11AE" w:rsidRDefault="00C66555" w:rsidP="00C24791">
      <w:pPr>
        <w:spacing w:line="240" w:lineRule="auto"/>
        <w:jc w:val="center"/>
        <w:rPr>
          <w:b/>
          <w:bCs/>
          <w:color w:val="215E99" w:themeColor="text2" w:themeTint="BF"/>
          <w:sz w:val="28"/>
          <w:szCs w:val="28"/>
        </w:rPr>
      </w:pPr>
      <w:r w:rsidRPr="007B11AE">
        <w:rPr>
          <w:b/>
          <w:bCs/>
          <w:color w:val="215E99" w:themeColor="text2" w:themeTint="BF"/>
          <w:sz w:val="28"/>
          <w:szCs w:val="28"/>
        </w:rPr>
        <w:t xml:space="preserve">ATTESTATION </w:t>
      </w:r>
      <w:r w:rsidR="00AF53BC" w:rsidRPr="007B11AE">
        <w:rPr>
          <w:b/>
          <w:bCs/>
          <w:color w:val="215E99" w:themeColor="text2" w:themeTint="BF"/>
          <w:sz w:val="28"/>
          <w:szCs w:val="28"/>
        </w:rPr>
        <w:t xml:space="preserve">SUR L’HONNEUR </w:t>
      </w:r>
      <w:r w:rsidRPr="007B11AE">
        <w:rPr>
          <w:b/>
          <w:bCs/>
          <w:color w:val="215E99" w:themeColor="text2" w:themeTint="BF"/>
          <w:sz w:val="28"/>
          <w:szCs w:val="28"/>
        </w:rPr>
        <w:t xml:space="preserve">RELATIVE </w:t>
      </w:r>
      <w:r w:rsidR="00C24791" w:rsidRPr="007B11AE">
        <w:rPr>
          <w:b/>
          <w:bCs/>
          <w:color w:val="215E99" w:themeColor="text2" w:themeTint="BF"/>
          <w:sz w:val="28"/>
          <w:szCs w:val="28"/>
        </w:rPr>
        <w:t xml:space="preserve">A </w:t>
      </w:r>
    </w:p>
    <w:p w14:paraId="45FAF82C" w14:textId="6BF7555C" w:rsidR="00AB43D8" w:rsidRPr="00C66555" w:rsidRDefault="00C24791" w:rsidP="00C24791">
      <w:pPr>
        <w:spacing w:line="240" w:lineRule="auto"/>
        <w:jc w:val="center"/>
        <w:rPr>
          <w:b/>
          <w:bCs/>
          <w:color w:val="215E99" w:themeColor="text2" w:themeTint="BF"/>
          <w:sz w:val="28"/>
          <w:szCs w:val="28"/>
        </w:rPr>
      </w:pPr>
      <w:r w:rsidRPr="007B11AE">
        <w:rPr>
          <w:b/>
          <w:bCs/>
          <w:color w:val="215E99" w:themeColor="text2" w:themeTint="BF"/>
          <w:sz w:val="28"/>
          <w:szCs w:val="28"/>
        </w:rPr>
        <w:t>LA DUREE D’AMORTISSEMENT DES MATERIELS OBJET</w:t>
      </w:r>
      <w:r w:rsidR="002B3953" w:rsidRPr="007B11AE">
        <w:rPr>
          <w:b/>
          <w:bCs/>
          <w:color w:val="215E99" w:themeColor="text2" w:themeTint="BF"/>
          <w:sz w:val="28"/>
          <w:szCs w:val="28"/>
        </w:rPr>
        <w:t>S</w:t>
      </w:r>
      <w:r w:rsidR="00AF53BC" w:rsidRPr="007B11AE">
        <w:rPr>
          <w:b/>
          <w:bCs/>
          <w:color w:val="215E99" w:themeColor="text2" w:themeTint="BF"/>
          <w:sz w:val="28"/>
          <w:szCs w:val="28"/>
        </w:rPr>
        <w:t xml:space="preserve"> </w:t>
      </w:r>
      <w:r w:rsidR="002B3953" w:rsidRPr="007B11AE">
        <w:rPr>
          <w:b/>
          <w:bCs/>
          <w:color w:val="215E99" w:themeColor="text2" w:themeTint="BF"/>
          <w:sz w:val="28"/>
          <w:szCs w:val="28"/>
        </w:rPr>
        <w:t>DE LA DEMANDE DE SUBVENTION</w:t>
      </w:r>
    </w:p>
    <w:p w14:paraId="7A813367" w14:textId="77777777" w:rsidR="00C66555" w:rsidRDefault="00C66555"/>
    <w:p w14:paraId="0B76E454" w14:textId="77777777" w:rsidR="00315C14" w:rsidRDefault="00315C14" w:rsidP="00EB0BE1">
      <w:pPr>
        <w:pStyle w:val="En-tte"/>
        <w:tabs>
          <w:tab w:val="clear" w:pos="4536"/>
          <w:tab w:val="clear" w:pos="9072"/>
        </w:tabs>
        <w:spacing w:after="160" w:line="259" w:lineRule="auto"/>
      </w:pPr>
    </w:p>
    <w:p w14:paraId="34F72ECA" w14:textId="71A21A47" w:rsidR="00C66555" w:rsidRPr="00AF53BC" w:rsidRDefault="00C66555" w:rsidP="00315C14">
      <w:pPr>
        <w:spacing w:line="480" w:lineRule="auto"/>
        <w:rPr>
          <w:sz w:val="24"/>
          <w:szCs w:val="24"/>
        </w:rPr>
      </w:pPr>
      <w:r w:rsidRPr="00AF53BC">
        <w:rPr>
          <w:b/>
          <w:bCs/>
          <w:sz w:val="24"/>
          <w:szCs w:val="24"/>
        </w:rPr>
        <w:t>Raison Sociale :</w:t>
      </w:r>
      <w:r w:rsidRPr="00AF53BC">
        <w:rPr>
          <w:sz w:val="24"/>
          <w:szCs w:val="24"/>
        </w:rPr>
        <w:t xml:space="preserve"> ----------------------------------------------------------------------------------------</w:t>
      </w:r>
      <w:r w:rsidR="00A90C4D">
        <w:rPr>
          <w:sz w:val="24"/>
          <w:szCs w:val="24"/>
        </w:rPr>
        <w:t>------------------</w:t>
      </w:r>
    </w:p>
    <w:p w14:paraId="0373556B" w14:textId="35804AB4" w:rsidR="00EB0BE1" w:rsidRPr="00AF53BC" w:rsidRDefault="00EB0BE1" w:rsidP="00315C14">
      <w:pPr>
        <w:spacing w:line="480" w:lineRule="auto"/>
        <w:rPr>
          <w:sz w:val="24"/>
          <w:szCs w:val="24"/>
        </w:rPr>
      </w:pPr>
      <w:r w:rsidRPr="007B11AE">
        <w:rPr>
          <w:b/>
          <w:bCs/>
          <w:sz w:val="24"/>
          <w:szCs w:val="24"/>
        </w:rPr>
        <w:t>Siret </w:t>
      </w:r>
      <w:r w:rsidRPr="007B11AE">
        <w:rPr>
          <w:sz w:val="24"/>
          <w:szCs w:val="24"/>
        </w:rPr>
        <w:t>: -----------------------------------------------------------------------------------------------------</w:t>
      </w:r>
      <w:r w:rsidR="00A90C4D" w:rsidRPr="007B11AE">
        <w:rPr>
          <w:sz w:val="24"/>
          <w:szCs w:val="24"/>
        </w:rPr>
        <w:t>------------------</w:t>
      </w:r>
    </w:p>
    <w:p w14:paraId="400A583A" w14:textId="6EDF2B1D" w:rsidR="00C66555" w:rsidRPr="00AF53BC" w:rsidRDefault="00C66555" w:rsidP="00315C14">
      <w:pPr>
        <w:spacing w:line="480" w:lineRule="auto"/>
        <w:rPr>
          <w:sz w:val="24"/>
          <w:szCs w:val="24"/>
        </w:rPr>
      </w:pPr>
      <w:r w:rsidRPr="00AF53BC">
        <w:rPr>
          <w:b/>
          <w:bCs/>
          <w:sz w:val="24"/>
          <w:szCs w:val="24"/>
        </w:rPr>
        <w:t>Adresse/Code Postal/Ville :</w:t>
      </w:r>
      <w:r w:rsidRPr="00AF53BC">
        <w:rPr>
          <w:sz w:val="24"/>
          <w:szCs w:val="24"/>
        </w:rPr>
        <w:t xml:space="preserve"> -----------------------------------------------------------------------</w:t>
      </w:r>
      <w:r w:rsidR="00A90C4D">
        <w:rPr>
          <w:sz w:val="24"/>
          <w:szCs w:val="24"/>
        </w:rPr>
        <w:t>-------------------</w:t>
      </w:r>
    </w:p>
    <w:p w14:paraId="16DF862F" w14:textId="235653E9" w:rsidR="00C66555" w:rsidRPr="00AF53BC" w:rsidRDefault="00C66555" w:rsidP="00315C14">
      <w:pPr>
        <w:spacing w:line="480" w:lineRule="auto"/>
        <w:rPr>
          <w:sz w:val="24"/>
          <w:szCs w:val="24"/>
        </w:rPr>
      </w:pPr>
      <w:r w:rsidRPr="00AF53BC">
        <w:rPr>
          <w:sz w:val="24"/>
          <w:szCs w:val="24"/>
        </w:rPr>
        <w:t>-----------------------------------------------------------------------------------------------------------</w:t>
      </w:r>
      <w:r w:rsidR="00315C14" w:rsidRPr="00AF53BC">
        <w:rPr>
          <w:sz w:val="24"/>
          <w:szCs w:val="24"/>
        </w:rPr>
        <w:t>--</w:t>
      </w:r>
      <w:r w:rsidR="00A90C4D">
        <w:rPr>
          <w:sz w:val="24"/>
          <w:szCs w:val="24"/>
        </w:rPr>
        <w:t>-------------------</w:t>
      </w:r>
    </w:p>
    <w:p w14:paraId="6A4B0639" w14:textId="69481EE9" w:rsidR="003A6A8A" w:rsidRDefault="00C66555" w:rsidP="00315C14">
      <w:pPr>
        <w:spacing w:line="480" w:lineRule="auto"/>
        <w:rPr>
          <w:sz w:val="24"/>
          <w:szCs w:val="24"/>
        </w:rPr>
      </w:pPr>
      <w:r w:rsidRPr="00AF53BC">
        <w:rPr>
          <w:b/>
          <w:bCs/>
          <w:sz w:val="24"/>
          <w:szCs w:val="24"/>
        </w:rPr>
        <w:t>N° UAI :</w:t>
      </w:r>
      <w:r w:rsidRPr="00AF53BC">
        <w:rPr>
          <w:sz w:val="24"/>
          <w:szCs w:val="24"/>
        </w:rPr>
        <w:t xml:space="preserve"> ---------------------------------------------------------------------------------------------------</w:t>
      </w:r>
      <w:r w:rsidR="00A90C4D">
        <w:rPr>
          <w:sz w:val="24"/>
          <w:szCs w:val="24"/>
        </w:rPr>
        <w:t>------------------</w:t>
      </w:r>
    </w:p>
    <w:p w14:paraId="48761F43" w14:textId="77777777" w:rsidR="007B11AE" w:rsidRPr="00AF53BC" w:rsidRDefault="007B11AE" w:rsidP="00315C14">
      <w:pPr>
        <w:spacing w:line="480" w:lineRule="auto"/>
        <w:rPr>
          <w:sz w:val="24"/>
          <w:szCs w:val="24"/>
        </w:rPr>
      </w:pPr>
    </w:p>
    <w:p w14:paraId="5F17F281" w14:textId="74E27CFC" w:rsidR="00EB0BE1" w:rsidRPr="007B11AE" w:rsidRDefault="00EB0BE1" w:rsidP="002B3953">
      <w:pPr>
        <w:jc w:val="both"/>
        <w:rPr>
          <w:i/>
          <w:iCs/>
          <w:u w:val="single"/>
        </w:rPr>
      </w:pPr>
      <w:r w:rsidRPr="007B11AE">
        <w:rPr>
          <w:i/>
          <w:iCs/>
          <w:u w:val="single"/>
        </w:rPr>
        <w:t>Référence juridique</w:t>
      </w:r>
    </w:p>
    <w:p w14:paraId="20414A8D" w14:textId="77777777" w:rsidR="00EB0BE1" w:rsidRPr="007B11AE" w:rsidRDefault="004813EE" w:rsidP="00EB0BE1">
      <w:pPr>
        <w:spacing w:after="0" w:line="240" w:lineRule="auto"/>
        <w:jc w:val="both"/>
        <w:rPr>
          <w:i/>
          <w:iCs/>
        </w:rPr>
      </w:pPr>
      <w:r w:rsidRPr="007B11AE">
        <w:rPr>
          <w:i/>
          <w:iCs/>
        </w:rPr>
        <w:t xml:space="preserve">Article D. 6332-78 du Code du Travail </w:t>
      </w:r>
    </w:p>
    <w:p w14:paraId="739B996E" w14:textId="3B587C7A" w:rsidR="003A6A8A" w:rsidRPr="007B11AE" w:rsidRDefault="004813EE" w:rsidP="00EB0BE1">
      <w:pPr>
        <w:spacing w:after="0" w:line="240" w:lineRule="auto"/>
        <w:jc w:val="both"/>
        <w:rPr>
          <w:i/>
          <w:iCs/>
        </w:rPr>
      </w:pPr>
      <w:r w:rsidRPr="007B11AE">
        <w:rPr>
          <w:i/>
          <w:iCs/>
        </w:rPr>
        <w:t xml:space="preserve"> « </w:t>
      </w:r>
      <w:r w:rsidR="00EB0BE1" w:rsidRPr="007B11AE">
        <w:rPr>
          <w:i/>
          <w:iCs/>
        </w:rPr>
        <w:t>L</w:t>
      </w:r>
      <w:r w:rsidRPr="007B11AE">
        <w:rPr>
          <w:i/>
          <w:iCs/>
        </w:rPr>
        <w:t>es charges d'amortissement annuelles comptabilisées pour des équipements qui participent à la mise en œuvre des enseignements dispensés par apprentissage ainsi qu'à l'ingénierie pédagogique sont prises en compte pour la détermination du niveau de prise en charge du contrat d'apprentissage dès lors que leur durée d'amortissement n'excède pas trois ans ».</w:t>
      </w:r>
    </w:p>
    <w:p w14:paraId="20966C1F" w14:textId="77777777" w:rsidR="00EB0BE1" w:rsidRDefault="00EB0BE1" w:rsidP="004813EE">
      <w:pPr>
        <w:jc w:val="both"/>
        <w:rPr>
          <w:sz w:val="28"/>
          <w:szCs w:val="28"/>
        </w:rPr>
      </w:pPr>
    </w:p>
    <w:p w14:paraId="5581213B" w14:textId="3EE65F98" w:rsidR="004813EE" w:rsidRPr="00AF53BC" w:rsidRDefault="00550795" w:rsidP="00EB0BE1">
      <w:pPr>
        <w:pStyle w:val="Corpsdetexte"/>
        <w:rPr>
          <w:sz w:val="24"/>
          <w:szCs w:val="24"/>
        </w:rPr>
      </w:pPr>
      <w:r w:rsidRPr="00AF53BC">
        <w:rPr>
          <w:sz w:val="24"/>
          <w:szCs w:val="24"/>
        </w:rPr>
        <w:t>Ainsi et p</w:t>
      </w:r>
      <w:r w:rsidR="004813EE" w:rsidRPr="00AF53BC">
        <w:rPr>
          <w:sz w:val="24"/>
          <w:szCs w:val="24"/>
        </w:rPr>
        <w:t>ar la présente, j’atteste sur l’honneur que l’ensemble des équipements objets de la demande de subvention fa</w:t>
      </w:r>
      <w:r w:rsidR="00EB0BE1" w:rsidRPr="00AF53BC">
        <w:rPr>
          <w:sz w:val="24"/>
          <w:szCs w:val="24"/>
        </w:rPr>
        <w:t>i</w:t>
      </w:r>
      <w:r w:rsidR="004813EE" w:rsidRPr="00AF53BC">
        <w:rPr>
          <w:sz w:val="24"/>
          <w:szCs w:val="24"/>
        </w:rPr>
        <w:t xml:space="preserve">te auprès d’AKTO </w:t>
      </w:r>
      <w:r w:rsidR="009D2579" w:rsidRPr="00AF53BC">
        <w:rPr>
          <w:sz w:val="24"/>
          <w:szCs w:val="24"/>
        </w:rPr>
        <w:t>a</w:t>
      </w:r>
      <w:r w:rsidR="004813EE" w:rsidRPr="00AF53BC">
        <w:rPr>
          <w:sz w:val="24"/>
          <w:szCs w:val="24"/>
        </w:rPr>
        <w:t xml:space="preserve"> une durée d’amortissement supérieure à trois ans.</w:t>
      </w:r>
    </w:p>
    <w:p w14:paraId="10F8173E" w14:textId="77777777" w:rsidR="007B11AE" w:rsidRDefault="007B11AE" w:rsidP="007B11AE"/>
    <w:p w14:paraId="65E6279A" w14:textId="77777777" w:rsidR="007B11AE" w:rsidRDefault="007B11AE" w:rsidP="007B11AE"/>
    <w:p w14:paraId="21713888" w14:textId="54CA09C8" w:rsidR="00315C14" w:rsidRPr="007B11AE" w:rsidRDefault="00EB0BE1" w:rsidP="007B11AE">
      <w:pPr>
        <w:ind w:left="4248" w:firstLine="708"/>
        <w:rPr>
          <w:b/>
          <w:bCs/>
          <w:sz w:val="24"/>
          <w:szCs w:val="24"/>
        </w:rPr>
      </w:pPr>
      <w:r w:rsidRPr="007B11AE">
        <w:rPr>
          <w:b/>
          <w:bCs/>
          <w:sz w:val="24"/>
          <w:szCs w:val="24"/>
        </w:rPr>
        <w:t>Nom</w:t>
      </w:r>
      <w:r w:rsidR="007B11AE" w:rsidRPr="007B11AE">
        <w:rPr>
          <w:b/>
          <w:bCs/>
          <w:sz w:val="24"/>
          <w:szCs w:val="24"/>
        </w:rPr>
        <w:t xml:space="preserve">, </w:t>
      </w:r>
      <w:r w:rsidRPr="007B11AE">
        <w:rPr>
          <w:b/>
          <w:bCs/>
          <w:sz w:val="24"/>
          <w:szCs w:val="24"/>
        </w:rPr>
        <w:t xml:space="preserve">prénom </w:t>
      </w:r>
      <w:r w:rsidR="007B11AE" w:rsidRPr="007B11AE">
        <w:rPr>
          <w:b/>
          <w:bCs/>
          <w:sz w:val="24"/>
          <w:szCs w:val="24"/>
        </w:rPr>
        <w:t xml:space="preserve">et signature </w:t>
      </w:r>
      <w:r w:rsidRPr="007B11AE">
        <w:rPr>
          <w:b/>
          <w:bCs/>
          <w:sz w:val="24"/>
          <w:szCs w:val="24"/>
        </w:rPr>
        <w:t>du directeur du CFA</w:t>
      </w:r>
    </w:p>
    <w:p w14:paraId="77FF676A" w14:textId="77777777" w:rsidR="007B11AE" w:rsidRDefault="009F10D2" w:rsidP="007B11AE">
      <w:pPr>
        <w:ind w:left="708" w:firstLine="2"/>
      </w:pPr>
      <w:r w:rsidRPr="007B11AE">
        <w:tab/>
      </w:r>
      <w:r w:rsidRPr="007B11AE">
        <w:tab/>
      </w:r>
      <w:r w:rsidRPr="007B11AE">
        <w:tab/>
      </w:r>
      <w:r w:rsidRPr="007B11AE">
        <w:tab/>
      </w:r>
      <w:r w:rsidRPr="007B11AE">
        <w:tab/>
      </w:r>
      <w:r w:rsidRPr="007B11AE">
        <w:tab/>
      </w:r>
    </w:p>
    <w:p w14:paraId="5BAB88F9" w14:textId="77777777" w:rsidR="007B11AE" w:rsidRDefault="007B11AE" w:rsidP="007B11AE">
      <w:pPr>
        <w:ind w:left="708" w:firstLine="2"/>
      </w:pPr>
    </w:p>
    <w:p w14:paraId="04135A3E" w14:textId="77777777" w:rsidR="007B11AE" w:rsidRDefault="007B11AE" w:rsidP="007B11AE">
      <w:pPr>
        <w:ind w:left="3540" w:firstLine="708"/>
      </w:pPr>
    </w:p>
    <w:p w14:paraId="31A717DC" w14:textId="5EB29537" w:rsidR="00AF53BC" w:rsidRPr="009D2579" w:rsidRDefault="00AF53BC" w:rsidP="007B11AE">
      <w:pPr>
        <w:ind w:left="4248" w:firstLine="708"/>
        <w:rPr>
          <w:b/>
          <w:bCs/>
          <w:sz w:val="24"/>
          <w:szCs w:val="24"/>
        </w:rPr>
      </w:pPr>
      <w:r w:rsidRPr="007B11AE">
        <w:rPr>
          <w:b/>
          <w:bCs/>
          <w:sz w:val="24"/>
          <w:szCs w:val="24"/>
        </w:rPr>
        <w:t>Cachet du CFA</w:t>
      </w:r>
    </w:p>
    <w:p w14:paraId="106236DF" w14:textId="77777777" w:rsidR="009F10D2" w:rsidRPr="009F10D2" w:rsidRDefault="009F10D2" w:rsidP="007B11AE"/>
    <w:sectPr w:rsidR="009F10D2" w:rsidRPr="009F10D2" w:rsidSect="009F10D2">
      <w:headerReference w:type="default" r:id="rId6"/>
      <w:footerReference w:type="default" r:id="rId7"/>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C14C6" w14:textId="77777777" w:rsidR="007E462E" w:rsidRDefault="007E462E" w:rsidP="00C66555">
      <w:pPr>
        <w:spacing w:after="0" w:line="240" w:lineRule="auto"/>
      </w:pPr>
      <w:r>
        <w:separator/>
      </w:r>
    </w:p>
  </w:endnote>
  <w:endnote w:type="continuationSeparator" w:id="0">
    <w:p w14:paraId="2FA05E32" w14:textId="77777777" w:rsidR="007E462E" w:rsidRDefault="007E462E" w:rsidP="00C66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26D40" w14:textId="77777777" w:rsidR="009F10D2" w:rsidRDefault="009F10D2" w:rsidP="00C66555">
    <w:pPr>
      <w:pStyle w:val="Pieddepage"/>
      <w:jc w:val="both"/>
    </w:pPr>
  </w:p>
  <w:p w14:paraId="29578F24" w14:textId="68E6DF52" w:rsidR="00C66555" w:rsidRPr="007B11AE" w:rsidRDefault="009F10D2" w:rsidP="009D2579">
    <w:pPr>
      <w:pStyle w:val="Pieddepage"/>
      <w:jc w:val="both"/>
      <w:rPr>
        <w:sz w:val="16"/>
        <w:szCs w:val="16"/>
      </w:rPr>
    </w:pPr>
    <w:r w:rsidRPr="007B11AE">
      <w:rPr>
        <w:sz w:val="16"/>
        <w:szCs w:val="16"/>
      </w:rPr>
      <w:t>M</w:t>
    </w:r>
    <w:r w:rsidR="00C66555" w:rsidRPr="007B11AE">
      <w:rPr>
        <w:sz w:val="16"/>
        <w:szCs w:val="16"/>
      </w:rPr>
      <w:t xml:space="preserve">odèle </w:t>
    </w:r>
    <w:r w:rsidRPr="007B11AE">
      <w:rPr>
        <w:sz w:val="16"/>
        <w:szCs w:val="16"/>
      </w:rPr>
      <w:t xml:space="preserve">AKTO </w:t>
    </w:r>
    <w:r w:rsidR="00C66555" w:rsidRPr="007B11AE">
      <w:rPr>
        <w:sz w:val="16"/>
        <w:szCs w:val="16"/>
      </w:rPr>
      <w:t xml:space="preserve">Attestation </w:t>
    </w:r>
    <w:r w:rsidR="009D2579" w:rsidRPr="007B11AE">
      <w:rPr>
        <w:sz w:val="16"/>
        <w:szCs w:val="16"/>
      </w:rPr>
      <w:t xml:space="preserve">sur l’honneur </w:t>
    </w:r>
    <w:r w:rsidR="00D32076" w:rsidRPr="007B11AE">
      <w:rPr>
        <w:sz w:val="16"/>
        <w:szCs w:val="16"/>
      </w:rPr>
      <w:t>Durée d’amortissement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CCFF1" w14:textId="77777777" w:rsidR="007E462E" w:rsidRDefault="007E462E" w:rsidP="00C66555">
      <w:pPr>
        <w:spacing w:after="0" w:line="240" w:lineRule="auto"/>
      </w:pPr>
      <w:r>
        <w:separator/>
      </w:r>
    </w:p>
  </w:footnote>
  <w:footnote w:type="continuationSeparator" w:id="0">
    <w:p w14:paraId="52328B49" w14:textId="77777777" w:rsidR="007E462E" w:rsidRDefault="007E462E" w:rsidP="00C66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8C25E" w14:textId="79A7E43A" w:rsidR="00C66555" w:rsidRPr="00D32076" w:rsidRDefault="004C5353">
    <w:pPr>
      <w:pStyle w:val="En-tte"/>
      <w:rPr>
        <w:b/>
        <w:bCs/>
      </w:rPr>
    </w:pPr>
    <w:r>
      <w:rPr>
        <w:b/>
        <w:bCs/>
      </w:rPr>
      <w:t xml:space="preserve">EN TETE </w:t>
    </w:r>
    <w:r w:rsidR="00C66555" w:rsidRPr="00D32076">
      <w:rPr>
        <w:b/>
        <w:bCs/>
      </w:rPr>
      <w:t>DU CFA</w:t>
    </w:r>
  </w:p>
  <w:p w14:paraId="7135438C" w14:textId="77777777" w:rsidR="00C66555" w:rsidRDefault="00C6655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555"/>
    <w:rsid w:val="001722EE"/>
    <w:rsid w:val="002B3953"/>
    <w:rsid w:val="00315C14"/>
    <w:rsid w:val="00332477"/>
    <w:rsid w:val="003A6A8A"/>
    <w:rsid w:val="004813EE"/>
    <w:rsid w:val="00493085"/>
    <w:rsid w:val="004C5353"/>
    <w:rsid w:val="00550795"/>
    <w:rsid w:val="00574EF6"/>
    <w:rsid w:val="007B11AE"/>
    <w:rsid w:val="007E462E"/>
    <w:rsid w:val="00960220"/>
    <w:rsid w:val="009D2579"/>
    <w:rsid w:val="009F10D2"/>
    <w:rsid w:val="00A90C4D"/>
    <w:rsid w:val="00AB43D8"/>
    <w:rsid w:val="00AF53BC"/>
    <w:rsid w:val="00C24791"/>
    <w:rsid w:val="00C66555"/>
    <w:rsid w:val="00D32076"/>
    <w:rsid w:val="00E424DD"/>
    <w:rsid w:val="00EB0B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17B6E"/>
  <w15:chartTrackingRefBased/>
  <w15:docId w15:val="{D4BD0A3E-5FE9-4355-8214-513741ED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665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665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6655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6655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6655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6655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6655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6655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6655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655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6655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6655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6655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6655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6655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6655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6655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66555"/>
    <w:rPr>
      <w:rFonts w:eastAsiaTheme="majorEastAsia" w:cstheme="majorBidi"/>
      <w:color w:val="272727" w:themeColor="text1" w:themeTint="D8"/>
    </w:rPr>
  </w:style>
  <w:style w:type="paragraph" w:styleId="Titre">
    <w:name w:val="Title"/>
    <w:basedOn w:val="Normal"/>
    <w:next w:val="Normal"/>
    <w:link w:val="TitreCar"/>
    <w:uiPriority w:val="10"/>
    <w:qFormat/>
    <w:rsid w:val="00C665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6655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6655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6655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66555"/>
    <w:pPr>
      <w:spacing w:before="160"/>
      <w:jc w:val="center"/>
    </w:pPr>
    <w:rPr>
      <w:i/>
      <w:iCs/>
      <w:color w:val="404040" w:themeColor="text1" w:themeTint="BF"/>
    </w:rPr>
  </w:style>
  <w:style w:type="character" w:customStyle="1" w:styleId="CitationCar">
    <w:name w:val="Citation Car"/>
    <w:basedOn w:val="Policepardfaut"/>
    <w:link w:val="Citation"/>
    <w:uiPriority w:val="29"/>
    <w:rsid w:val="00C66555"/>
    <w:rPr>
      <w:i/>
      <w:iCs/>
      <w:color w:val="404040" w:themeColor="text1" w:themeTint="BF"/>
    </w:rPr>
  </w:style>
  <w:style w:type="paragraph" w:styleId="Paragraphedeliste">
    <w:name w:val="List Paragraph"/>
    <w:basedOn w:val="Normal"/>
    <w:uiPriority w:val="34"/>
    <w:qFormat/>
    <w:rsid w:val="00C66555"/>
    <w:pPr>
      <w:ind w:left="720"/>
      <w:contextualSpacing/>
    </w:pPr>
  </w:style>
  <w:style w:type="character" w:styleId="Accentuationintense">
    <w:name w:val="Intense Emphasis"/>
    <w:basedOn w:val="Policepardfaut"/>
    <w:uiPriority w:val="21"/>
    <w:qFormat/>
    <w:rsid w:val="00C66555"/>
    <w:rPr>
      <w:i/>
      <w:iCs/>
      <w:color w:val="0F4761" w:themeColor="accent1" w:themeShade="BF"/>
    </w:rPr>
  </w:style>
  <w:style w:type="paragraph" w:styleId="Citationintense">
    <w:name w:val="Intense Quote"/>
    <w:basedOn w:val="Normal"/>
    <w:next w:val="Normal"/>
    <w:link w:val="CitationintenseCar"/>
    <w:uiPriority w:val="30"/>
    <w:qFormat/>
    <w:rsid w:val="00C665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66555"/>
    <w:rPr>
      <w:i/>
      <w:iCs/>
      <w:color w:val="0F4761" w:themeColor="accent1" w:themeShade="BF"/>
    </w:rPr>
  </w:style>
  <w:style w:type="character" w:styleId="Rfrenceintense">
    <w:name w:val="Intense Reference"/>
    <w:basedOn w:val="Policepardfaut"/>
    <w:uiPriority w:val="32"/>
    <w:qFormat/>
    <w:rsid w:val="00C66555"/>
    <w:rPr>
      <w:b/>
      <w:bCs/>
      <w:smallCaps/>
      <w:color w:val="0F4761" w:themeColor="accent1" w:themeShade="BF"/>
      <w:spacing w:val="5"/>
    </w:rPr>
  </w:style>
  <w:style w:type="paragraph" w:styleId="En-tte">
    <w:name w:val="header"/>
    <w:basedOn w:val="Normal"/>
    <w:link w:val="En-tteCar"/>
    <w:uiPriority w:val="99"/>
    <w:unhideWhenUsed/>
    <w:rsid w:val="00C66555"/>
    <w:pPr>
      <w:tabs>
        <w:tab w:val="center" w:pos="4536"/>
        <w:tab w:val="right" w:pos="9072"/>
      </w:tabs>
      <w:spacing w:after="0" w:line="240" w:lineRule="auto"/>
    </w:pPr>
  </w:style>
  <w:style w:type="character" w:customStyle="1" w:styleId="En-tteCar">
    <w:name w:val="En-tête Car"/>
    <w:basedOn w:val="Policepardfaut"/>
    <w:link w:val="En-tte"/>
    <w:uiPriority w:val="99"/>
    <w:rsid w:val="00C66555"/>
  </w:style>
  <w:style w:type="paragraph" w:styleId="Pieddepage">
    <w:name w:val="footer"/>
    <w:basedOn w:val="Normal"/>
    <w:link w:val="PieddepageCar"/>
    <w:uiPriority w:val="99"/>
    <w:unhideWhenUsed/>
    <w:rsid w:val="00C665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6555"/>
  </w:style>
  <w:style w:type="table" w:styleId="Grilledutableau">
    <w:name w:val="Table Grid"/>
    <w:basedOn w:val="TableauNormal"/>
    <w:uiPriority w:val="39"/>
    <w:rsid w:val="00960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unhideWhenUsed/>
    <w:rsid w:val="00EB0BE1"/>
    <w:pPr>
      <w:jc w:val="both"/>
    </w:pPr>
    <w:rPr>
      <w:sz w:val="28"/>
      <w:szCs w:val="28"/>
    </w:rPr>
  </w:style>
  <w:style w:type="character" w:customStyle="1" w:styleId="CorpsdetexteCar">
    <w:name w:val="Corps de texte Car"/>
    <w:basedOn w:val="Policepardfaut"/>
    <w:link w:val="Corpsdetexte"/>
    <w:uiPriority w:val="99"/>
    <w:rsid w:val="00EB0BE1"/>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89F89AE2DEB14C92322E4CAD524114" ma:contentTypeVersion="20" ma:contentTypeDescription="Crée un document." ma:contentTypeScope="" ma:versionID="d1b0d5def26d0c78269010cab1ab840a">
  <xsd:schema xmlns:xsd="http://www.w3.org/2001/XMLSchema" xmlns:xs="http://www.w3.org/2001/XMLSchema" xmlns:p="http://schemas.microsoft.com/office/2006/metadata/properties" xmlns:ns2="e5f0461a-b235-4712-9276-b926a10e4b20" xmlns:ns3="85dc2699-86c8-46ed-be6a-17aad96beb6a" targetNamespace="http://schemas.microsoft.com/office/2006/metadata/properties" ma:root="true" ma:fieldsID="c5f98ee7e2f8543aa2e297c55ec3c1ea" ns2:_="" ns3:_="">
    <xsd:import namespace="e5f0461a-b235-4712-9276-b926a10e4b20"/>
    <xsd:import namespace="85dc2699-86c8-46ed-be6a-17aad96beb6a"/>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0461a-b235-4712-9276-b926a10e4b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0831a019-066d-4aac-b1cc-22567cb129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dc2699-86c8-46ed-be6a-17aad96beb6a"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2a3db060-c7ed-4cfd-aa27-05226bd1c073}" ma:internalName="TaxCatchAll" ma:showField="CatchAllData" ma:web="85dc2699-86c8-46ed-be6a-17aad96beb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5CDD3A-BB38-4D3C-A2A5-2E6A597B5AC1}"/>
</file>

<file path=customXml/itemProps2.xml><?xml version="1.0" encoding="utf-8"?>
<ds:datastoreItem xmlns:ds="http://schemas.openxmlformats.org/officeDocument/2006/customXml" ds:itemID="{396B2664-442F-40D3-A73C-4F5E2FAF4E8F}"/>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1204</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CATTAUX</dc:creator>
  <cp:keywords/>
  <dc:description/>
  <cp:lastModifiedBy>Celine CATTAUX</cp:lastModifiedBy>
  <cp:revision>2</cp:revision>
  <dcterms:created xsi:type="dcterms:W3CDTF">2024-09-13T09:36:00Z</dcterms:created>
  <dcterms:modified xsi:type="dcterms:W3CDTF">2024-09-13T09:36:00Z</dcterms:modified>
</cp:coreProperties>
</file>