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6B00" w14:textId="341B81EF" w:rsidR="0047195A" w:rsidRDefault="0047195A" w:rsidP="003C76E8">
      <w:pPr>
        <w:jc w:val="center"/>
        <w:rPr>
          <w:b/>
          <w:bCs/>
        </w:rPr>
      </w:pPr>
    </w:p>
    <w:p w14:paraId="41578A64" w14:textId="2603975A" w:rsidR="002C57DE" w:rsidRDefault="003C76E8" w:rsidP="003C76E8">
      <w:pPr>
        <w:jc w:val="center"/>
        <w:rPr>
          <w:b/>
          <w:bCs/>
          <w:u w:val="single"/>
        </w:rPr>
      </w:pPr>
      <w:r w:rsidRPr="003C76E8">
        <w:rPr>
          <w:b/>
          <w:bCs/>
        </w:rPr>
        <w:t>Formations à la sécurité éligibles/non éligibles par AKTO</w:t>
      </w:r>
      <w:r w:rsidR="006859A6">
        <w:rPr>
          <w:b/>
          <w:bCs/>
        </w:rPr>
        <w:t xml:space="preserve"> </w:t>
      </w:r>
      <w:r w:rsidR="006859A6" w:rsidRPr="006859A6">
        <w:rPr>
          <w:b/>
          <w:bCs/>
          <w:u w:val="single"/>
        </w:rPr>
        <w:t>sur PDC M50</w:t>
      </w:r>
      <w:r w:rsidR="002C57DE">
        <w:rPr>
          <w:b/>
          <w:bCs/>
          <w:u w:val="single"/>
        </w:rPr>
        <w:t xml:space="preserve"> </w:t>
      </w:r>
    </w:p>
    <w:p w14:paraId="4C505553" w14:textId="5B96C02E" w:rsidR="002C57DE" w:rsidRPr="002C57DE" w:rsidRDefault="002C57DE" w:rsidP="003C76E8">
      <w:pPr>
        <w:jc w:val="center"/>
        <w:rPr>
          <w:b/>
          <w:bCs/>
        </w:rPr>
      </w:pPr>
      <w:proofErr w:type="gramStart"/>
      <w:r w:rsidRPr="002C57DE">
        <w:rPr>
          <w:b/>
          <w:bCs/>
        </w:rPr>
        <w:t>demandées</w:t>
      </w:r>
      <w:proofErr w:type="gramEnd"/>
      <w:r w:rsidRPr="002C57DE">
        <w:rPr>
          <w:b/>
          <w:bCs/>
        </w:rPr>
        <w:t xml:space="preserve"> le plus par les entreprises de la Propreté</w:t>
      </w:r>
    </w:p>
    <w:p w14:paraId="61626EFA" w14:textId="3682A067" w:rsidR="003C76E8" w:rsidRDefault="002C57DE" w:rsidP="003C76E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(</w:t>
      </w:r>
      <w:proofErr w:type="gramStart"/>
      <w:r w:rsidRPr="0047195A">
        <w:rPr>
          <w:b/>
          <w:bCs/>
          <w:color w:val="EE0000"/>
          <w:u w:val="single"/>
        </w:rPr>
        <w:t>liste</w:t>
      </w:r>
      <w:proofErr w:type="gramEnd"/>
      <w:r w:rsidRPr="0047195A">
        <w:rPr>
          <w:b/>
          <w:bCs/>
          <w:color w:val="EE0000"/>
          <w:u w:val="single"/>
        </w:rPr>
        <w:t xml:space="preserve"> non exhaustive, rapprochez-vous de votre conseiller formation</w:t>
      </w:r>
      <w:r>
        <w:rPr>
          <w:b/>
          <w:bCs/>
          <w:u w:val="single"/>
        </w:rPr>
        <w:t>)</w:t>
      </w:r>
    </w:p>
    <w:p w14:paraId="42BB89F7" w14:textId="77777777" w:rsidR="0047195A" w:rsidRPr="003C76E8" w:rsidRDefault="0047195A" w:rsidP="003C76E8">
      <w:pPr>
        <w:jc w:val="center"/>
        <w:rPr>
          <w:b/>
          <w:bCs/>
        </w:rPr>
      </w:pPr>
    </w:p>
    <w:p w14:paraId="34A047F4" w14:textId="7C6A13D3" w:rsidR="003C76E8" w:rsidRPr="00396B22" w:rsidRDefault="003C76E8" w:rsidP="003C76E8">
      <w:pPr>
        <w:rPr>
          <w:color w:val="4EA72E" w:themeColor="accent6"/>
        </w:rPr>
      </w:pPr>
      <w:r>
        <w:t>1.Formations visant à l’obtention d’une habilitation électrique</w:t>
      </w:r>
      <w:r w:rsidR="006859A6">
        <w:t xml:space="preserve"> </w:t>
      </w:r>
      <w:r>
        <w:t xml:space="preserve">: </w:t>
      </w:r>
      <w:r w:rsidRPr="00396B22">
        <w:rPr>
          <w:color w:val="4EA72E" w:themeColor="accent6"/>
        </w:rPr>
        <w:t>éligibles</w:t>
      </w:r>
    </w:p>
    <w:p w14:paraId="18485AAB" w14:textId="047B6ECE" w:rsidR="003C76E8" w:rsidRPr="00396B22" w:rsidRDefault="003C76E8" w:rsidP="003C76E8">
      <w:pPr>
        <w:rPr>
          <w:b/>
          <w:bCs/>
          <w:color w:val="4EA72E" w:themeColor="accent6"/>
        </w:rPr>
      </w:pPr>
      <w:r>
        <w:t xml:space="preserve">2.Formations transport : </w:t>
      </w:r>
      <w:r w:rsidRPr="00396B22">
        <w:rPr>
          <w:b/>
          <w:bCs/>
          <w:color w:val="4EA72E" w:themeColor="accent6"/>
        </w:rPr>
        <w:t>éligibles</w:t>
      </w:r>
    </w:p>
    <w:p w14:paraId="2ACB108A" w14:textId="094938AF" w:rsidR="003C76E8" w:rsidRDefault="003C76E8" w:rsidP="003C76E8">
      <w:r>
        <w:t xml:space="preserve">3. Formations liées à la protection contre la radioactivité : </w:t>
      </w:r>
      <w:r w:rsidRPr="00396B22">
        <w:rPr>
          <w:b/>
          <w:bCs/>
          <w:color w:val="4EA72E" w:themeColor="accent6"/>
        </w:rPr>
        <w:t>éligible</w:t>
      </w:r>
      <w:r w:rsidRPr="00396B22">
        <w:rPr>
          <w:b/>
          <w:bCs/>
        </w:rPr>
        <w:t>/</w:t>
      </w:r>
      <w:r w:rsidRPr="00396B22">
        <w:rPr>
          <w:b/>
          <w:bCs/>
          <w:color w:val="EE0000"/>
        </w:rPr>
        <w:t>non éligible</w:t>
      </w:r>
      <w:r w:rsidRPr="00396B22">
        <w:rPr>
          <w:color w:val="EE0000"/>
        </w:rPr>
        <w:t xml:space="preserve"> </w:t>
      </w:r>
      <w:r>
        <w:t>selon les cas</w:t>
      </w:r>
    </w:p>
    <w:p w14:paraId="4B463D5F" w14:textId="46A67F2F" w:rsidR="003C76E8" w:rsidRPr="00396B22" w:rsidRDefault="003C76E8" w:rsidP="00396B22">
      <w:pPr>
        <w:ind w:left="708"/>
        <w:jc w:val="both"/>
        <w:rPr>
          <w:color w:val="EE0000"/>
        </w:rPr>
      </w:pPr>
      <w:r>
        <w:t>Si la formation est délivrée à des travailleurs disposant d'une surveillance dosimétrique individuelle (au sens du I de l'article R. 4451-64), elle revêt un caractère obligatoire et «</w:t>
      </w:r>
      <w:r w:rsidR="006859A6">
        <w:t xml:space="preserve"> </w:t>
      </w:r>
      <w:r>
        <w:t xml:space="preserve">elle est prise en charge par l’employeur </w:t>
      </w:r>
      <w:proofErr w:type="gramStart"/>
      <w:r>
        <w:t>»:</w:t>
      </w:r>
      <w:proofErr w:type="gramEnd"/>
      <w:r>
        <w:t xml:space="preserve"> </w:t>
      </w:r>
      <w:r w:rsidRPr="00396B22">
        <w:rPr>
          <w:color w:val="EE0000"/>
        </w:rPr>
        <w:t>non-éligible</w:t>
      </w:r>
    </w:p>
    <w:p w14:paraId="60AD4B0A" w14:textId="34046F45" w:rsidR="003C76E8" w:rsidRDefault="003C76E8" w:rsidP="00396B22">
      <w:pPr>
        <w:ind w:left="708"/>
        <w:jc w:val="both"/>
      </w:pPr>
      <w:r>
        <w:t xml:space="preserve">Si la formation est délivrée à des personnels ne disposant pas d’une surveillance dosimétrique, elle est éligible : </w:t>
      </w:r>
      <w:r w:rsidRPr="00396B22">
        <w:rPr>
          <w:color w:val="4EA72E" w:themeColor="accent6"/>
        </w:rPr>
        <w:t>éligible</w:t>
      </w:r>
    </w:p>
    <w:p w14:paraId="73249D31" w14:textId="08086F67" w:rsidR="003C76E8" w:rsidRDefault="003C76E8" w:rsidP="00396B22">
      <w:pPr>
        <w:ind w:left="708"/>
        <w:jc w:val="both"/>
      </w:pPr>
      <w:r>
        <w:t>Références règlementaires : Articles R4451-5, R4451-58 et</w:t>
      </w:r>
      <w:r w:rsidR="006859A6">
        <w:t xml:space="preserve"> </w:t>
      </w:r>
      <w:r>
        <w:t>Article R4451-59</w:t>
      </w:r>
    </w:p>
    <w:p w14:paraId="5EAF437B" w14:textId="2AECEA45" w:rsidR="003C76E8" w:rsidRDefault="003C76E8" w:rsidP="003C76E8">
      <w:r>
        <w:t xml:space="preserve">4.Formations </w:t>
      </w:r>
      <w:r w:rsidRPr="006859A6">
        <w:t xml:space="preserve">phytosanitaires, produits biocides : </w:t>
      </w:r>
      <w:r w:rsidR="006859A6" w:rsidRPr="00396B22">
        <w:rPr>
          <w:b/>
          <w:bCs/>
          <w:color w:val="EE0000"/>
        </w:rPr>
        <w:t xml:space="preserve">non </w:t>
      </w:r>
      <w:r w:rsidRPr="00396B22">
        <w:rPr>
          <w:b/>
          <w:bCs/>
          <w:color w:val="EE0000"/>
        </w:rPr>
        <w:t>éligibles</w:t>
      </w:r>
      <w:r w:rsidR="006859A6" w:rsidRPr="00396B22">
        <w:rPr>
          <w:color w:val="EE0000"/>
        </w:rPr>
        <w:t xml:space="preserve"> </w:t>
      </w:r>
    </w:p>
    <w:p w14:paraId="04BCA812" w14:textId="3DEB4D5C" w:rsidR="003C76E8" w:rsidRPr="00396B22" w:rsidRDefault="003C76E8" w:rsidP="003C76E8">
      <w:pPr>
        <w:rPr>
          <w:b/>
          <w:bCs/>
          <w:color w:val="4EA72E" w:themeColor="accent6"/>
        </w:rPr>
      </w:pPr>
      <w:r>
        <w:t xml:space="preserve">5. Formations prévention : </w:t>
      </w:r>
      <w:r w:rsidRPr="00396B22">
        <w:rPr>
          <w:b/>
          <w:bCs/>
          <w:color w:val="4EA72E" w:themeColor="accent6"/>
        </w:rPr>
        <w:t>éligibles</w:t>
      </w:r>
    </w:p>
    <w:p w14:paraId="54885A9C" w14:textId="2EC57C93" w:rsidR="003C76E8" w:rsidRDefault="003C76E8" w:rsidP="003C76E8">
      <w:r>
        <w:t xml:space="preserve">6.Formations risques liés à l’amiante : </w:t>
      </w:r>
      <w:r w:rsidRPr="00396B22">
        <w:rPr>
          <w:b/>
          <w:bCs/>
          <w:color w:val="4EA72E" w:themeColor="accent6"/>
        </w:rPr>
        <w:t>éligible</w:t>
      </w:r>
      <w:r>
        <w:t>/</w:t>
      </w:r>
      <w:r w:rsidRPr="00396B22">
        <w:rPr>
          <w:b/>
          <w:bCs/>
          <w:color w:val="EE0000"/>
        </w:rPr>
        <w:t>non éligible</w:t>
      </w:r>
      <w:r w:rsidRPr="00396B22">
        <w:rPr>
          <w:color w:val="EE0000"/>
        </w:rPr>
        <w:t xml:space="preserve"> </w:t>
      </w:r>
      <w:r>
        <w:t>selon les cas</w:t>
      </w:r>
    </w:p>
    <w:p w14:paraId="0E08E2A0" w14:textId="1B798778" w:rsidR="003C76E8" w:rsidRPr="00396B22" w:rsidRDefault="003C76E8" w:rsidP="00396B22">
      <w:pPr>
        <w:ind w:left="708"/>
        <w:jc w:val="both"/>
        <w:rPr>
          <w:b/>
          <w:bCs/>
          <w:color w:val="4EA72E" w:themeColor="accent6"/>
        </w:rPr>
      </w:pPr>
      <w:r>
        <w:t xml:space="preserve">L’action est éligible si elle constitue une action d’adaptation au poste de travail et si elle est </w:t>
      </w:r>
      <w:proofErr w:type="spellStart"/>
      <w:r>
        <w:t>certiﬁante</w:t>
      </w:r>
      <w:proofErr w:type="spellEnd"/>
      <w:r>
        <w:t xml:space="preserve"> : </w:t>
      </w:r>
      <w:r w:rsidRPr="00396B22">
        <w:rPr>
          <w:b/>
          <w:bCs/>
          <w:color w:val="4EA72E" w:themeColor="accent6"/>
        </w:rPr>
        <w:t>éligible</w:t>
      </w:r>
    </w:p>
    <w:p w14:paraId="05EAC056" w14:textId="62E727A1" w:rsidR="003C76E8" w:rsidRPr="006859A6" w:rsidRDefault="003C76E8" w:rsidP="00396B22">
      <w:pPr>
        <w:ind w:left="708"/>
        <w:jc w:val="both"/>
        <w:rPr>
          <w:sz w:val="18"/>
          <w:szCs w:val="18"/>
        </w:rPr>
      </w:pPr>
      <w:r w:rsidRPr="006859A6">
        <w:rPr>
          <w:sz w:val="18"/>
          <w:szCs w:val="18"/>
        </w:rPr>
        <w:t>Ex</w:t>
      </w:r>
      <w:r w:rsidR="006859A6">
        <w:rPr>
          <w:sz w:val="18"/>
          <w:szCs w:val="18"/>
        </w:rPr>
        <w:t xml:space="preserve"> </w:t>
      </w:r>
      <w:r w:rsidRPr="006859A6">
        <w:rPr>
          <w:sz w:val="18"/>
          <w:szCs w:val="18"/>
        </w:rPr>
        <w:t>: Formation à la prévention des risques liés à l'amiante sous-section 3 (RS6421, RS6422 et RS6423)</w:t>
      </w:r>
    </w:p>
    <w:p w14:paraId="19E15D2A" w14:textId="222012BB" w:rsidR="003C76E8" w:rsidRPr="006859A6" w:rsidRDefault="003C76E8" w:rsidP="00396B22">
      <w:pPr>
        <w:ind w:left="708"/>
        <w:jc w:val="both"/>
        <w:rPr>
          <w:sz w:val="18"/>
          <w:szCs w:val="18"/>
        </w:rPr>
      </w:pPr>
      <w:r>
        <w:t xml:space="preserve">Formation à la prévention des risques liés à l'amiante sous-section 4 </w:t>
      </w:r>
      <w:r w:rsidRPr="006859A6">
        <w:rPr>
          <w:sz w:val="18"/>
          <w:szCs w:val="18"/>
        </w:rPr>
        <w:t>(RS6418 RS6417, RS6419 et RS6420)</w:t>
      </w:r>
    </w:p>
    <w:p w14:paraId="75BFD764" w14:textId="638A5D75" w:rsidR="003C76E8" w:rsidRDefault="006859A6" w:rsidP="00396B22">
      <w:pPr>
        <w:ind w:left="708"/>
        <w:jc w:val="both"/>
      </w:pPr>
      <w:r>
        <w:t>Attention :</w:t>
      </w:r>
      <w:r w:rsidR="003C76E8">
        <w:t xml:space="preserve"> </w:t>
      </w:r>
      <w:proofErr w:type="spellStart"/>
      <w:r w:rsidR="003C76E8">
        <w:t>vériﬁer</w:t>
      </w:r>
      <w:proofErr w:type="spellEnd"/>
      <w:r w:rsidR="003C76E8">
        <w:t xml:space="preserve"> que la </w:t>
      </w:r>
      <w:proofErr w:type="spellStart"/>
      <w:r w:rsidR="003C76E8">
        <w:t>ﬁche</w:t>
      </w:r>
      <w:proofErr w:type="spellEnd"/>
      <w:r w:rsidR="003C76E8">
        <w:t xml:space="preserve"> soit active au Répertoire </w:t>
      </w:r>
      <w:proofErr w:type="spellStart"/>
      <w:r w:rsidR="003C76E8">
        <w:t>Spéciﬁque</w:t>
      </w:r>
      <w:proofErr w:type="spellEnd"/>
      <w:r w:rsidR="003C76E8">
        <w:t>.</w:t>
      </w:r>
    </w:p>
    <w:p w14:paraId="5BB70DF0" w14:textId="4E30384E" w:rsidR="003C76E8" w:rsidRDefault="003C76E8" w:rsidP="00396B22">
      <w:pPr>
        <w:ind w:left="708"/>
        <w:jc w:val="both"/>
      </w:pPr>
      <w:r>
        <w:t>L’action n’est pas éligible, si l’action répond à une obligation règlementaire de formation à la sécurité (application de l'article L4141-2 du code du travail</w:t>
      </w:r>
      <w:proofErr w:type="gramStart"/>
      <w:r>
        <w:t>):</w:t>
      </w:r>
      <w:proofErr w:type="gramEnd"/>
      <w:r w:rsidR="006859A6">
        <w:t xml:space="preserve"> </w:t>
      </w:r>
      <w:r w:rsidRPr="00396B22">
        <w:rPr>
          <w:b/>
          <w:bCs/>
          <w:color w:val="EE0000"/>
        </w:rPr>
        <w:t>non-éligible</w:t>
      </w:r>
    </w:p>
    <w:p w14:paraId="189E9EB6" w14:textId="6B0F623A" w:rsidR="003C76E8" w:rsidRDefault="003C76E8" w:rsidP="00396B22">
      <w:pPr>
        <w:ind w:left="708"/>
        <w:jc w:val="both"/>
      </w:pPr>
      <w:r>
        <w:t xml:space="preserve">Outre l’obligation générale de formation à la sécurité prévue par le Code du travail (article L. 4141-2), l’employeur doit assurer une formation adaptée aux activités et aux procédés mis en œuvre à tous les salariés susceptibles d’intervenir sur des matériaux amiantés, et ce préalablement à leur première intervention. Les modalités de la formation </w:t>
      </w:r>
      <w:proofErr w:type="spellStart"/>
      <w:r>
        <w:t>spéciﬁques</w:t>
      </w:r>
      <w:proofErr w:type="spellEnd"/>
      <w:r>
        <w:t xml:space="preserve"> des travailleurs à la prévention des risques liés à l’amiante sont </w:t>
      </w:r>
      <w:proofErr w:type="spellStart"/>
      <w:r>
        <w:t>déﬁnies</w:t>
      </w:r>
      <w:proofErr w:type="spellEnd"/>
      <w:r>
        <w:t xml:space="preserve"> par la réglementation (arrêté du 23 février 2012 </w:t>
      </w:r>
      <w:proofErr w:type="spellStart"/>
      <w:r>
        <w:t>modiﬁé</w:t>
      </w:r>
      <w:proofErr w:type="spellEnd"/>
      <w:r>
        <w:t>).</w:t>
      </w:r>
    </w:p>
    <w:p w14:paraId="183B5C86" w14:textId="429D7D88" w:rsidR="003C76E8" w:rsidRPr="00396B22" w:rsidRDefault="003C76E8" w:rsidP="003C76E8">
      <w:pPr>
        <w:rPr>
          <w:b/>
          <w:bCs/>
          <w:color w:val="EE0000"/>
        </w:rPr>
      </w:pPr>
      <w:r>
        <w:t>7.</w:t>
      </w:r>
      <w:r w:rsidR="006859A6" w:rsidRPr="006859A6">
        <w:t xml:space="preserve"> </w:t>
      </w:r>
      <w:r w:rsidR="006859A6">
        <w:t xml:space="preserve">Formation générale à la sécurité : </w:t>
      </w:r>
      <w:r w:rsidR="006859A6" w:rsidRPr="00396B22">
        <w:rPr>
          <w:b/>
          <w:bCs/>
          <w:color w:val="EE0000"/>
        </w:rPr>
        <w:t xml:space="preserve">non-éligible </w:t>
      </w:r>
    </w:p>
    <w:p w14:paraId="35880AA8" w14:textId="77777777" w:rsidR="00396B22" w:rsidRPr="00396B22" w:rsidRDefault="006859A6" w:rsidP="00396B22">
      <w:pPr>
        <w:rPr>
          <w:b/>
          <w:bCs/>
          <w:color w:val="EE0000"/>
        </w:rPr>
      </w:pPr>
      <w:r>
        <w:t xml:space="preserve">8. Formations à l’utilisation d’EPI : </w:t>
      </w:r>
      <w:r w:rsidR="00396B22" w:rsidRPr="00396B22">
        <w:rPr>
          <w:b/>
          <w:bCs/>
          <w:color w:val="EE0000"/>
        </w:rPr>
        <w:t>non-éligible</w:t>
      </w:r>
    </w:p>
    <w:p w14:paraId="26038EEC" w14:textId="3F0D93E4" w:rsidR="006859A6" w:rsidRPr="00396B22" w:rsidRDefault="006859A6" w:rsidP="006859A6">
      <w:pPr>
        <w:rPr>
          <w:b/>
          <w:bCs/>
          <w:color w:val="EE0000"/>
        </w:rPr>
      </w:pPr>
      <w:r>
        <w:t xml:space="preserve">9. Formation ATEX (atmosphère explosive) : </w:t>
      </w:r>
      <w:r w:rsidRPr="00396B22">
        <w:rPr>
          <w:b/>
          <w:bCs/>
          <w:color w:val="EE0000"/>
        </w:rPr>
        <w:t>non-éligible</w:t>
      </w:r>
    </w:p>
    <w:p w14:paraId="1BD218CA" w14:textId="77777777" w:rsidR="006859A6" w:rsidRDefault="006859A6" w:rsidP="006859A6">
      <w:r>
        <w:t xml:space="preserve">10. Formations relatives au risque chimique : </w:t>
      </w:r>
      <w:r w:rsidRPr="00396B22">
        <w:rPr>
          <w:b/>
          <w:bCs/>
          <w:color w:val="EE0000"/>
        </w:rPr>
        <w:t>non-éligible</w:t>
      </w:r>
    </w:p>
    <w:p w14:paraId="71FBDD85" w14:textId="77777777" w:rsidR="0047195A" w:rsidRDefault="0047195A" w:rsidP="006859A6"/>
    <w:p w14:paraId="660DB880" w14:textId="2FA898D5" w:rsidR="006859A6" w:rsidRPr="00396B22" w:rsidRDefault="006859A6" w:rsidP="006859A6">
      <w:pPr>
        <w:rPr>
          <w:b/>
          <w:bCs/>
          <w:color w:val="4EA72E" w:themeColor="accent6"/>
        </w:rPr>
      </w:pPr>
      <w:r>
        <w:t xml:space="preserve">11.Formation manutention de charges : </w:t>
      </w:r>
      <w:r w:rsidRPr="00396B22">
        <w:rPr>
          <w:b/>
          <w:bCs/>
          <w:color w:val="4EA72E" w:themeColor="accent6"/>
        </w:rPr>
        <w:t>éligible</w:t>
      </w:r>
    </w:p>
    <w:p w14:paraId="1BB4FD16" w14:textId="75974F18" w:rsidR="006859A6" w:rsidRPr="00396B22" w:rsidRDefault="006859A6" w:rsidP="006859A6">
      <w:pPr>
        <w:rPr>
          <w:b/>
          <w:bCs/>
          <w:color w:val="4EA72E" w:themeColor="accent6"/>
        </w:rPr>
      </w:pPr>
      <w:r>
        <w:t xml:space="preserve">12.Formation aux équipements de travail mobiles automoteurs : </w:t>
      </w:r>
      <w:r w:rsidRPr="00396B22">
        <w:rPr>
          <w:b/>
          <w:bCs/>
          <w:color w:val="4EA72E" w:themeColor="accent6"/>
        </w:rPr>
        <w:t>éligible</w:t>
      </w:r>
    </w:p>
    <w:p w14:paraId="7CEFD018" w14:textId="78A69F23" w:rsidR="006859A6" w:rsidRPr="00396B22" w:rsidRDefault="006859A6" w:rsidP="006859A6">
      <w:pPr>
        <w:rPr>
          <w:b/>
          <w:bCs/>
          <w:color w:val="4EA72E" w:themeColor="accent6"/>
        </w:rPr>
      </w:pPr>
      <w:r>
        <w:t xml:space="preserve">13. Formations visant des Habilitations mécaniques : </w:t>
      </w:r>
      <w:r w:rsidRPr="00396B22">
        <w:rPr>
          <w:b/>
          <w:bCs/>
          <w:color w:val="4EA72E" w:themeColor="accent6"/>
        </w:rPr>
        <w:t>éligibles</w:t>
      </w:r>
    </w:p>
    <w:p w14:paraId="13E02930" w14:textId="2AC3C368" w:rsidR="006859A6" w:rsidRPr="00396B22" w:rsidRDefault="006859A6" w:rsidP="006859A6">
      <w:pPr>
        <w:rPr>
          <w:b/>
          <w:bCs/>
          <w:color w:val="4EA72E" w:themeColor="accent6"/>
        </w:rPr>
      </w:pPr>
      <w:r>
        <w:t xml:space="preserve">14.Formation prévention-secours : </w:t>
      </w:r>
      <w:r w:rsidRPr="00396B22">
        <w:rPr>
          <w:b/>
          <w:bCs/>
          <w:color w:val="4EA72E" w:themeColor="accent6"/>
        </w:rPr>
        <w:t>éligibles</w:t>
      </w:r>
    </w:p>
    <w:p w14:paraId="76CDD99D" w14:textId="3879AE75" w:rsidR="00396B22" w:rsidRPr="00396B22" w:rsidRDefault="00396B22" w:rsidP="006859A6">
      <w:pPr>
        <w:rPr>
          <w:b/>
          <w:bCs/>
          <w:color w:val="4EA72E" w:themeColor="accent6"/>
        </w:rPr>
      </w:pPr>
      <w:r>
        <w:t>15. Formation Nucléaire – radioprotection </w:t>
      </w:r>
      <w:r w:rsidRPr="00396B22">
        <w:rPr>
          <w:b/>
          <w:bCs/>
          <w:color w:val="4EA72E" w:themeColor="accent6"/>
        </w:rPr>
        <w:t>: Eligible</w:t>
      </w:r>
    </w:p>
    <w:p w14:paraId="32CB9BE2" w14:textId="77777777" w:rsidR="006859A6" w:rsidRDefault="006859A6" w:rsidP="006859A6">
      <w:r>
        <w:t>---------------------</w:t>
      </w:r>
    </w:p>
    <w:p w14:paraId="4BFD1CF0" w14:textId="6854A63E" w:rsidR="006859A6" w:rsidRDefault="006859A6" w:rsidP="006859A6">
      <w:r>
        <w:t xml:space="preserve">Rappel : Formations CACES :  </w:t>
      </w:r>
      <w:r w:rsidRPr="00396B22">
        <w:rPr>
          <w:b/>
          <w:bCs/>
          <w:color w:val="4EA72E" w:themeColor="accent6"/>
        </w:rPr>
        <w:t>éligibles</w:t>
      </w:r>
      <w:r>
        <w:t xml:space="preserve"> (seule l’autorisation de conduite délivrée par l’employeur est obligatoire</w:t>
      </w:r>
      <w:r w:rsidR="00396B22">
        <w:t xml:space="preserve"> donc non-éligible</w:t>
      </w:r>
      <w:r>
        <w:t>, pas la formation)</w:t>
      </w:r>
    </w:p>
    <w:p w14:paraId="2B6DFE35" w14:textId="77777777" w:rsidR="006859A6" w:rsidRDefault="006859A6" w:rsidP="006859A6">
      <w:r>
        <w:t>---------------------</w:t>
      </w:r>
    </w:p>
    <w:p w14:paraId="38594132" w14:textId="0BB08459" w:rsidR="003C76E8" w:rsidRPr="00396B22" w:rsidRDefault="00396B22" w:rsidP="003C76E8">
      <w:pPr>
        <w:rPr>
          <w:b/>
          <w:bCs/>
          <w:color w:val="4EA72E" w:themeColor="accent6"/>
        </w:rPr>
      </w:pPr>
      <w:r>
        <w:t>16.</w:t>
      </w:r>
      <w:r w:rsidR="006859A6" w:rsidRPr="006859A6">
        <w:t xml:space="preserve"> </w:t>
      </w:r>
      <w:r w:rsidR="006859A6">
        <w:t xml:space="preserve">Formations non-discrimination à l’embauche : </w:t>
      </w:r>
      <w:r w:rsidR="006859A6" w:rsidRPr="00396B22">
        <w:rPr>
          <w:b/>
          <w:bCs/>
          <w:color w:val="4EA72E" w:themeColor="accent6"/>
        </w:rPr>
        <w:t>éligible</w:t>
      </w:r>
    </w:p>
    <w:p w14:paraId="5326DDB3" w14:textId="4BFA2042" w:rsidR="003C76E8" w:rsidRPr="00396B22" w:rsidRDefault="006859A6" w:rsidP="003C76E8">
      <w:pPr>
        <w:rPr>
          <w:b/>
          <w:bCs/>
          <w:color w:val="4EA72E" w:themeColor="accent6"/>
        </w:rPr>
      </w:pPr>
      <w:r>
        <w:t>1</w:t>
      </w:r>
      <w:r w:rsidR="00396B22">
        <w:t>7</w:t>
      </w:r>
      <w:r w:rsidR="003C76E8">
        <w:t xml:space="preserve">. Formation </w:t>
      </w:r>
      <w:r>
        <w:t>à l’accueil</w:t>
      </w:r>
      <w:r w:rsidR="003C76E8">
        <w:t xml:space="preserve"> et à l’accompagnement des personnes handicapées : </w:t>
      </w:r>
      <w:r w:rsidR="003C76E8" w:rsidRPr="00396B22">
        <w:rPr>
          <w:b/>
          <w:bCs/>
          <w:color w:val="4EA72E" w:themeColor="accent6"/>
        </w:rPr>
        <w:t>éligible</w:t>
      </w:r>
    </w:p>
    <w:p w14:paraId="01015550" w14:textId="0548F80A" w:rsidR="003C76E8" w:rsidRPr="00396B22" w:rsidRDefault="006859A6" w:rsidP="003C76E8">
      <w:pPr>
        <w:rPr>
          <w:b/>
          <w:bCs/>
          <w:color w:val="EE0000"/>
        </w:rPr>
      </w:pPr>
      <w:r>
        <w:t>1</w:t>
      </w:r>
      <w:r w:rsidR="00396B22">
        <w:t>8</w:t>
      </w:r>
      <w:r w:rsidR="003C76E8">
        <w:t xml:space="preserve">. FESES IRP : </w:t>
      </w:r>
      <w:r w:rsidR="003C76E8" w:rsidRPr="00396B22">
        <w:rPr>
          <w:b/>
          <w:bCs/>
          <w:color w:val="EE0000"/>
        </w:rPr>
        <w:t>non éligible</w:t>
      </w:r>
    </w:p>
    <w:p w14:paraId="69685A0F" w14:textId="679957C9" w:rsidR="00396B22" w:rsidRPr="00396B22" w:rsidRDefault="006859A6" w:rsidP="00396B22">
      <w:pPr>
        <w:rPr>
          <w:b/>
          <w:bCs/>
          <w:color w:val="EE0000"/>
        </w:rPr>
      </w:pPr>
      <w:r>
        <w:t>1</w:t>
      </w:r>
      <w:r w:rsidR="00396B22">
        <w:t>9</w:t>
      </w:r>
      <w:r w:rsidR="003C76E8">
        <w:t xml:space="preserve">. Formation sécurité IRP : éligible juridiquement mais pas de </w:t>
      </w:r>
      <w:proofErr w:type="spellStart"/>
      <w:r w:rsidR="003C76E8">
        <w:t>ﬁnancement</w:t>
      </w:r>
      <w:proofErr w:type="spellEnd"/>
      <w:r w:rsidR="003C76E8">
        <w:t xml:space="preserve"> possible sur le PDC-50 (décision CA AKTO)</w:t>
      </w:r>
      <w:r w:rsidR="00396B22">
        <w:t xml:space="preserve"> :  </w:t>
      </w:r>
      <w:r w:rsidR="00396B22" w:rsidRPr="00396B22">
        <w:rPr>
          <w:b/>
          <w:bCs/>
          <w:color w:val="EE0000"/>
        </w:rPr>
        <w:t>non éligible</w:t>
      </w:r>
    </w:p>
    <w:p w14:paraId="2B328268" w14:textId="6353F0C0" w:rsidR="003C76E8" w:rsidRDefault="003C76E8" w:rsidP="003C76E8"/>
    <w:p w14:paraId="2140AFB9" w14:textId="463586AF" w:rsidR="003C76E8" w:rsidRDefault="00396B22" w:rsidP="003C76E8">
      <w:r>
        <w:t>N’hésitez pas à consulter votre conseiller de formation si besoin.</w:t>
      </w:r>
    </w:p>
    <w:p w14:paraId="69D74BD8" w14:textId="77777777" w:rsidR="003C76E8" w:rsidRDefault="003C76E8" w:rsidP="003C76E8"/>
    <w:sectPr w:rsidR="003C76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4456" w14:textId="77777777" w:rsidR="005A3AD1" w:rsidRDefault="005A3AD1" w:rsidP="003C76E8">
      <w:pPr>
        <w:spacing w:after="0" w:line="240" w:lineRule="auto"/>
      </w:pPr>
      <w:r>
        <w:separator/>
      </w:r>
    </w:p>
  </w:endnote>
  <w:endnote w:type="continuationSeparator" w:id="0">
    <w:p w14:paraId="02446B2A" w14:textId="77777777" w:rsidR="005A3AD1" w:rsidRDefault="005A3AD1" w:rsidP="003C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C3B6" w14:textId="77777777" w:rsidR="0047195A" w:rsidRDefault="0047195A" w:rsidP="0047195A">
    <w:pPr>
      <w:pStyle w:val="En-tte"/>
      <w:jc w:val="center"/>
    </w:pPr>
    <w:r>
      <w:t>MAJ janvier 2026</w:t>
    </w:r>
  </w:p>
  <w:p w14:paraId="609B98BF" w14:textId="77777777" w:rsidR="0047195A" w:rsidRDefault="004719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A8C9" w14:textId="77777777" w:rsidR="005A3AD1" w:rsidRDefault="005A3AD1" w:rsidP="003C76E8">
      <w:pPr>
        <w:spacing w:after="0" w:line="240" w:lineRule="auto"/>
      </w:pPr>
      <w:r>
        <w:separator/>
      </w:r>
    </w:p>
  </w:footnote>
  <w:footnote w:type="continuationSeparator" w:id="0">
    <w:p w14:paraId="279CF0F8" w14:textId="77777777" w:rsidR="005A3AD1" w:rsidRDefault="005A3AD1" w:rsidP="003C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E8C2" w14:textId="77777777" w:rsidR="0047195A" w:rsidRDefault="0047195A" w:rsidP="0047195A">
    <w:pPr>
      <w:pStyle w:val="En-tte"/>
      <w:jc w:val="center"/>
    </w:pPr>
    <w:r>
      <w:rPr>
        <w:b/>
        <w:bCs/>
        <w:noProof/>
      </w:rPr>
      <w:drawing>
        <wp:inline distT="0" distB="0" distL="0" distR="0" wp14:anchorId="7E5DF5FA" wp14:editId="22FFB5CF">
          <wp:extent cx="1765300" cy="467400"/>
          <wp:effectExtent l="0" t="0" r="6350" b="8890"/>
          <wp:docPr id="1836860154" name="Image 1" descr="Une image contenant Graphique, Police, graphism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860154" name="Image 1" descr="Une image contenant Graphique, Police, graphism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079" cy="474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963"/>
    <w:multiLevelType w:val="hybridMultilevel"/>
    <w:tmpl w:val="EEB6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93A8A"/>
    <w:multiLevelType w:val="multilevel"/>
    <w:tmpl w:val="F128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A40674"/>
    <w:multiLevelType w:val="hybridMultilevel"/>
    <w:tmpl w:val="E0FEFE70"/>
    <w:lvl w:ilvl="0" w:tplc="2FCAA2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6311C"/>
    <w:multiLevelType w:val="multilevel"/>
    <w:tmpl w:val="8EEC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336D4B"/>
    <w:multiLevelType w:val="multilevel"/>
    <w:tmpl w:val="553A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666554"/>
    <w:multiLevelType w:val="hybridMultilevel"/>
    <w:tmpl w:val="3536E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629458">
    <w:abstractNumId w:val="0"/>
  </w:num>
  <w:num w:numId="2" w16cid:durableId="816647504">
    <w:abstractNumId w:val="5"/>
  </w:num>
  <w:num w:numId="3" w16cid:durableId="393889916">
    <w:abstractNumId w:val="3"/>
  </w:num>
  <w:num w:numId="4" w16cid:durableId="2100835030">
    <w:abstractNumId w:val="1"/>
  </w:num>
  <w:num w:numId="5" w16cid:durableId="32506517">
    <w:abstractNumId w:val="4"/>
  </w:num>
  <w:num w:numId="6" w16cid:durableId="179320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E8"/>
    <w:rsid w:val="00006F9D"/>
    <w:rsid w:val="000341D2"/>
    <w:rsid w:val="0022011D"/>
    <w:rsid w:val="002A0180"/>
    <w:rsid w:val="002C57DE"/>
    <w:rsid w:val="003943E2"/>
    <w:rsid w:val="00396B22"/>
    <w:rsid w:val="003C76E8"/>
    <w:rsid w:val="0047195A"/>
    <w:rsid w:val="00524797"/>
    <w:rsid w:val="005A3AD1"/>
    <w:rsid w:val="00631F00"/>
    <w:rsid w:val="006859A6"/>
    <w:rsid w:val="0095555D"/>
    <w:rsid w:val="009E4D2C"/>
    <w:rsid w:val="00B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C551"/>
  <w15:chartTrackingRefBased/>
  <w15:docId w15:val="{4F9C4E21-2FD0-4A2C-8075-BFBBB226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A6"/>
  </w:style>
  <w:style w:type="paragraph" w:styleId="Titre1">
    <w:name w:val="heading 1"/>
    <w:basedOn w:val="Normal"/>
    <w:next w:val="Normal"/>
    <w:link w:val="Titre1Car"/>
    <w:uiPriority w:val="9"/>
    <w:qFormat/>
    <w:rsid w:val="003C7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7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7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7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7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7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7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7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7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7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7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76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76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76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76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76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76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7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7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7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76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76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76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7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76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76E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C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76E8"/>
  </w:style>
  <w:style w:type="paragraph" w:styleId="Pieddepage">
    <w:name w:val="footer"/>
    <w:basedOn w:val="Normal"/>
    <w:link w:val="PieddepageCar"/>
    <w:uiPriority w:val="99"/>
    <w:unhideWhenUsed/>
    <w:rsid w:val="003C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AKTO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SWOROWSKI</dc:creator>
  <cp:keywords/>
  <dc:description/>
  <cp:lastModifiedBy>Amelie TARTONNE</cp:lastModifiedBy>
  <cp:revision>2</cp:revision>
  <dcterms:created xsi:type="dcterms:W3CDTF">2026-01-30T09:07:00Z</dcterms:created>
  <dcterms:modified xsi:type="dcterms:W3CDTF">2026-01-30T09:07:00Z</dcterms:modified>
</cp:coreProperties>
</file>